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450"/>
      </w:tblGrid>
      <w:tr w:rsidR="005F3550" w:rsidTr="006B159A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3550" w:rsidRDefault="005F3550" w:rsidP="005F3550">
            <w:pPr>
              <w:jc w:val="center"/>
              <w:rPr>
                <w:rFonts w:eastAsia="Calibri"/>
              </w:rPr>
            </w:pPr>
          </w:p>
        </w:tc>
        <w:tc>
          <w:tcPr>
            <w:tcW w:w="6450" w:type="dxa"/>
            <w:tcBorders>
              <w:top w:val="nil"/>
              <w:left w:val="nil"/>
              <w:right w:val="nil"/>
            </w:tcBorders>
            <w:hideMark/>
          </w:tcPr>
          <w:p w:rsidR="005F3550" w:rsidRDefault="005F3550" w:rsidP="00BA41E4">
            <w:pPr>
              <w:jc w:val="left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 № </w:t>
            </w:r>
            <w:r w:rsidR="00221E2D">
              <w:rPr>
                <w:rFonts w:eastAsia="Calibri"/>
                <w:b/>
                <w:i/>
              </w:rPr>
              <w:t>1</w:t>
            </w:r>
            <w:r w:rsidR="0055587C">
              <w:rPr>
                <w:rFonts w:eastAsia="Calibri"/>
                <w:b/>
                <w:i/>
              </w:rPr>
              <w:t>1</w:t>
            </w:r>
            <w:r w:rsidR="00221E2D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</w:rPr>
              <w:t xml:space="preserve">от </w:t>
            </w:r>
            <w:r w:rsidR="0055587C">
              <w:rPr>
                <w:rFonts w:eastAsia="Calibri"/>
                <w:b/>
                <w:i/>
              </w:rPr>
              <w:t>02</w:t>
            </w:r>
            <w:r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  <w:i/>
              </w:rPr>
              <w:t>0</w:t>
            </w:r>
            <w:r w:rsidR="0055587C">
              <w:rPr>
                <w:rFonts w:eastAsia="Calibri"/>
                <w:b/>
                <w:i/>
              </w:rPr>
              <w:t>2</w:t>
            </w:r>
            <w:r w:rsidR="00BA41E4">
              <w:rPr>
                <w:rFonts w:eastAsia="Calibri"/>
                <w:b/>
                <w:i/>
              </w:rPr>
              <w:t>.</w:t>
            </w:r>
            <w:r w:rsidRPr="00BA41E4">
              <w:rPr>
                <w:rFonts w:eastAsia="Calibri"/>
                <w:b/>
                <w:i/>
              </w:rPr>
              <w:t>2025</w:t>
            </w:r>
            <w:r>
              <w:rPr>
                <w:rFonts w:eastAsia="Calibri"/>
                <w:b/>
              </w:rPr>
              <w:t xml:space="preserve"> г.</w:t>
            </w: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RPr="00BF5001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Pr="00BF5001" w:rsidRDefault="00726564" w:rsidP="00BF5001">
            <w:pPr>
              <w:jc w:val="center"/>
              <w:rPr>
                <w:rFonts w:eastAsia="Calibri"/>
                <w:b/>
                <w:i/>
              </w:rPr>
            </w:pPr>
            <w:r w:rsidRPr="00BF5001">
              <w:rPr>
                <w:rFonts w:eastAsia="Calibri"/>
                <w:b/>
                <w:i/>
              </w:rPr>
              <w:t xml:space="preserve">Нижнетагильские электрические сети - </w:t>
            </w:r>
            <w:r w:rsidR="00BF5001" w:rsidRPr="00BF5001">
              <w:rPr>
                <w:rFonts w:eastAsia="Calibri"/>
                <w:b/>
                <w:i/>
              </w:rPr>
              <w:t>Н</w:t>
            </w:r>
            <w:r w:rsidRPr="00BF5001">
              <w:rPr>
                <w:rFonts w:eastAsia="Calibri"/>
                <w:b/>
                <w:i/>
              </w:rPr>
              <w:t>РЭС</w:t>
            </w:r>
          </w:p>
        </w:tc>
      </w:tr>
    </w:tbl>
    <w:p w:rsidR="00C774FE" w:rsidRPr="00BF5001" w:rsidRDefault="00C774FE" w:rsidP="00C774FE">
      <w:pPr>
        <w:spacing w:line="240" w:lineRule="auto"/>
        <w:rPr>
          <w:sz w:val="26"/>
          <w:szCs w:val="26"/>
        </w:rPr>
      </w:pPr>
      <w:r w:rsidRPr="00BF5001">
        <w:rPr>
          <w:sz w:val="26"/>
          <w:szCs w:val="26"/>
        </w:rPr>
        <w:t>филиала ПАО «</w:t>
      </w:r>
      <w:proofErr w:type="spellStart"/>
      <w:r w:rsidRPr="00BF5001">
        <w:rPr>
          <w:sz w:val="26"/>
          <w:szCs w:val="26"/>
        </w:rPr>
        <w:t>Россети</w:t>
      </w:r>
      <w:proofErr w:type="spellEnd"/>
      <w:r w:rsidRPr="00BF5001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221E2D" w:rsidP="00BF5001">
            <w:pPr>
              <w:jc w:val="center"/>
              <w:rPr>
                <w:rFonts w:eastAsia="Calibri"/>
                <w:b/>
                <w:i/>
              </w:rPr>
            </w:pPr>
            <w:r w:rsidRPr="00221E2D">
              <w:rPr>
                <w:rFonts w:eastAsia="Calibri"/>
                <w:b/>
                <w:i/>
              </w:rPr>
              <w:t xml:space="preserve">ПС 35 </w:t>
            </w:r>
            <w:proofErr w:type="spellStart"/>
            <w:r w:rsidRPr="00221E2D">
              <w:rPr>
                <w:rFonts w:eastAsia="Calibri"/>
                <w:b/>
                <w:i/>
              </w:rPr>
              <w:t>кВ</w:t>
            </w:r>
            <w:proofErr w:type="spellEnd"/>
            <w:r w:rsidRPr="00221E2D">
              <w:rPr>
                <w:rFonts w:eastAsia="Calibri"/>
                <w:b/>
                <w:i/>
              </w:rPr>
              <w:t xml:space="preserve"> НПУ</w:t>
            </w:r>
            <w:r w:rsidR="00BF5001" w:rsidRPr="00BF5001">
              <w:rPr>
                <w:rFonts w:eastAsia="Calibri"/>
                <w:b/>
                <w:i/>
              </w:rPr>
              <w:t xml:space="preserve">, </w:t>
            </w:r>
            <w:r w:rsidRPr="00221E2D">
              <w:rPr>
                <w:rFonts w:eastAsia="Calibri"/>
                <w:b/>
                <w:i/>
              </w:rPr>
              <w:t xml:space="preserve">В ф. 6 </w:t>
            </w:r>
            <w:proofErr w:type="spellStart"/>
            <w:r w:rsidRPr="00221E2D">
              <w:rPr>
                <w:rFonts w:eastAsia="Calibri"/>
                <w:b/>
                <w:i/>
              </w:rPr>
              <w:t>кВ</w:t>
            </w:r>
            <w:proofErr w:type="spellEnd"/>
            <w:r w:rsidRPr="00221E2D">
              <w:rPr>
                <w:rFonts w:eastAsia="Calibri"/>
                <w:b/>
                <w:i/>
              </w:rPr>
              <w:t xml:space="preserve"> Вспомогательные цеха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49" w:rsidRPr="006A0149" w:rsidRDefault="0046676B" w:rsidP="006A0149">
            <w:pPr>
              <w:jc w:val="center"/>
              <w:rPr>
                <w:rFonts w:eastAsia="Calibri"/>
                <w:b/>
                <w:i/>
              </w:rPr>
            </w:pPr>
            <w:r w:rsidRPr="0046676B">
              <w:rPr>
                <w:rFonts w:eastAsia="Calibri"/>
                <w:b/>
                <w:i/>
              </w:rPr>
              <w:t xml:space="preserve">Невьянский р-н, </w:t>
            </w:r>
            <w:r w:rsidR="006A0149" w:rsidRPr="006A0149">
              <w:rPr>
                <w:rFonts w:eastAsia="Calibri"/>
                <w:b/>
                <w:i/>
              </w:rPr>
              <w:t>г Невьянск</w:t>
            </w:r>
          </w:p>
          <w:p w:rsidR="00726564" w:rsidRDefault="006A0149" w:rsidP="006A0149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6A0149">
              <w:rPr>
                <w:rFonts w:eastAsia="Calibri"/>
                <w:b/>
                <w:i/>
              </w:rPr>
              <w:t>ул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Островского, д. 95, </w:t>
            </w:r>
            <w:proofErr w:type="spellStart"/>
            <w:r w:rsidRPr="006A0149">
              <w:rPr>
                <w:rFonts w:eastAsia="Calibri"/>
                <w:b/>
                <w:i/>
              </w:rPr>
              <w:t>ул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Строителей, д. 21, 16, </w:t>
            </w:r>
            <w:proofErr w:type="spellStart"/>
            <w:r w:rsidRPr="006A0149">
              <w:rPr>
                <w:rFonts w:eastAsia="Calibri"/>
                <w:b/>
                <w:i/>
              </w:rPr>
              <w:t>ул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Окружная, </w:t>
            </w:r>
            <w:proofErr w:type="spellStart"/>
            <w:r w:rsidRPr="006A0149">
              <w:rPr>
                <w:rFonts w:eastAsia="Calibri"/>
                <w:b/>
                <w:i/>
              </w:rPr>
              <w:t>ул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Степана Разина, д. 99, 104, </w:t>
            </w:r>
            <w:proofErr w:type="spellStart"/>
            <w:r w:rsidRPr="006A0149">
              <w:rPr>
                <w:rFonts w:eastAsia="Calibri"/>
                <w:b/>
                <w:i/>
              </w:rPr>
              <w:t>корп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а, 104, </w:t>
            </w:r>
            <w:proofErr w:type="spellStart"/>
            <w:r w:rsidRPr="006A0149">
              <w:rPr>
                <w:rFonts w:eastAsia="Calibri"/>
                <w:b/>
                <w:i/>
              </w:rPr>
              <w:t>корп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Б,, </w:t>
            </w:r>
            <w:proofErr w:type="spellStart"/>
            <w:r w:rsidRPr="006A0149">
              <w:rPr>
                <w:rFonts w:eastAsia="Calibri"/>
                <w:b/>
                <w:i/>
              </w:rPr>
              <w:t>ул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Кирова, </w:t>
            </w:r>
            <w:proofErr w:type="spellStart"/>
            <w:r w:rsidRPr="006A0149">
              <w:rPr>
                <w:rFonts w:eastAsia="Calibri"/>
                <w:b/>
                <w:i/>
              </w:rPr>
              <w:t>ул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Изумрудная, д. 3, 4, 5, 1, 2, 6,, </w:t>
            </w:r>
            <w:proofErr w:type="spellStart"/>
            <w:r w:rsidRPr="006A0149">
              <w:rPr>
                <w:rFonts w:eastAsia="Calibri"/>
                <w:b/>
                <w:i/>
              </w:rPr>
              <w:t>ул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Ракетная, д. 23, 21, </w:t>
            </w:r>
            <w:proofErr w:type="spellStart"/>
            <w:r w:rsidRPr="006A0149">
              <w:rPr>
                <w:rFonts w:eastAsia="Calibri"/>
                <w:b/>
                <w:i/>
              </w:rPr>
              <w:t>корп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а, </w:t>
            </w:r>
            <w:proofErr w:type="spellStart"/>
            <w:r w:rsidRPr="006A0149">
              <w:rPr>
                <w:rFonts w:eastAsia="Calibri"/>
                <w:b/>
                <w:i/>
              </w:rPr>
              <w:t>ул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Облепиховая, пер Окружной, д. 25, 3, 27, 1, 11, 5, 7, 19, </w:t>
            </w:r>
            <w:proofErr w:type="spellStart"/>
            <w:r w:rsidRPr="006A0149">
              <w:rPr>
                <w:rFonts w:eastAsia="Calibri"/>
                <w:b/>
                <w:i/>
              </w:rPr>
              <w:t>стр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1, </w:t>
            </w:r>
            <w:proofErr w:type="spellStart"/>
            <w:r w:rsidRPr="006A0149">
              <w:rPr>
                <w:rFonts w:eastAsia="Calibri"/>
                <w:b/>
                <w:i/>
              </w:rPr>
              <w:t>ул</w:t>
            </w:r>
            <w:proofErr w:type="spellEnd"/>
            <w:r w:rsidRPr="006A0149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6A0149">
              <w:rPr>
                <w:rFonts w:eastAsia="Calibri"/>
                <w:b/>
                <w:i/>
              </w:rPr>
              <w:t>Вайнера</w:t>
            </w:r>
            <w:proofErr w:type="spellEnd"/>
            <w:r w:rsidRPr="006A0149">
              <w:rPr>
                <w:rFonts w:eastAsia="Calibri"/>
                <w:b/>
                <w:i/>
              </w:rPr>
              <w:t>, д. 84,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C67D98" w:rsidRDefault="00726564" w:rsidP="00D0675B">
      <w:r w:rsidRPr="00726564">
        <w:t xml:space="preserve">для проведения </w:t>
      </w:r>
      <w:r w:rsidR="00C67D98" w:rsidRPr="00C67D98">
        <w:rPr>
          <w:b/>
          <w:i/>
        </w:rPr>
        <w:t>переключений по сети</w:t>
      </w:r>
      <w:r w:rsidR="00C67D98" w:rsidRPr="00C67D98">
        <w:t xml:space="preserve"> в </w:t>
      </w:r>
      <w:r w:rsidR="003541B0" w:rsidRPr="00C67D98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5550"/>
      </w:tblGrid>
      <w:tr w:rsidR="00225060" w:rsidRPr="00C67D98" w:rsidTr="00EB707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5060" w:rsidRPr="00C67D98" w:rsidRDefault="00225060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C67D98">
              <w:rPr>
                <w:rFonts w:eastAsia="Calibri"/>
              </w:rPr>
              <w:t>с</w:t>
            </w:r>
          </w:p>
        </w:tc>
        <w:tc>
          <w:tcPr>
            <w:tcW w:w="5550" w:type="dxa"/>
            <w:tcBorders>
              <w:top w:val="nil"/>
              <w:left w:val="nil"/>
            </w:tcBorders>
            <w:vAlign w:val="bottom"/>
          </w:tcPr>
          <w:p w:rsidR="00225060" w:rsidRPr="00C67D98" w:rsidRDefault="00221E2D" w:rsidP="00221E2D">
            <w:pPr>
              <w:widowControl/>
              <w:adjustRightInd/>
              <w:spacing w:before="100" w:beforeAutospacing="1" w:after="100" w:afterAutospacing="1" w:line="273" w:lineRule="auto"/>
              <w:textAlignment w:val="auto"/>
              <w:rPr>
                <w:rFonts w:eastAsia="Calibri"/>
                <w:b/>
                <w:i/>
              </w:rPr>
            </w:pPr>
            <w:r w:rsidRPr="00C67D98">
              <w:rPr>
                <w:rFonts w:eastAsia="Calibri"/>
                <w:b/>
                <w:i/>
              </w:rPr>
              <w:t>06:00 14.02.25</w:t>
            </w:r>
          </w:p>
        </w:tc>
      </w:tr>
      <w:tr w:rsidR="00225060" w:rsidRPr="00C67D98" w:rsidTr="00774409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5060" w:rsidRPr="00C67D98" w:rsidRDefault="00225060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C67D98">
              <w:rPr>
                <w:rFonts w:eastAsia="Calibri"/>
              </w:rPr>
              <w:t>до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</w:tcBorders>
            <w:vAlign w:val="bottom"/>
          </w:tcPr>
          <w:p w:rsidR="00225060" w:rsidRPr="00C67D98" w:rsidRDefault="00221E2D" w:rsidP="00221E2D">
            <w:pPr>
              <w:widowControl/>
              <w:adjustRightInd/>
              <w:spacing w:before="100" w:beforeAutospacing="1" w:after="100" w:afterAutospacing="1" w:line="273" w:lineRule="auto"/>
              <w:textAlignment w:val="auto"/>
              <w:rPr>
                <w:rFonts w:eastAsia="Calibri"/>
                <w:b/>
                <w:i/>
              </w:rPr>
            </w:pPr>
            <w:r w:rsidRPr="00C67D98">
              <w:rPr>
                <w:rFonts w:eastAsia="Calibri"/>
                <w:b/>
                <w:i/>
              </w:rPr>
              <w:t>24:00 14.02.25</w:t>
            </w:r>
          </w:p>
        </w:tc>
      </w:tr>
      <w:tr w:rsidR="00D0675B" w:rsidRPr="00726564" w:rsidTr="0028369F"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C67D98" w:rsidP="00D0675B">
            <w:pPr>
              <w:spacing w:before="100" w:beforeAutospacing="1" w:after="100" w:afterAutospacing="1" w:line="273" w:lineRule="auto"/>
            </w:pPr>
            <w:r w:rsidRPr="00C67D98">
              <w:rPr>
                <w:b/>
                <w:i/>
              </w:rPr>
              <w:t>по запросу на один час</w:t>
            </w: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2899"/>
        <w:gridCol w:w="1533"/>
        <w:gridCol w:w="1797"/>
        <w:gridCol w:w="1533"/>
      </w:tblGrid>
      <w:tr w:rsidR="00726564" w:rsidRPr="00742D0C" w:rsidTr="0004592D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4592D" w:rsidRPr="0034052B" w:rsidTr="0004592D">
        <w:trPr>
          <w:trHeight w:val="397"/>
        </w:trPr>
        <w:tc>
          <w:tcPr>
            <w:tcW w:w="957" w:type="pct"/>
            <w:shd w:val="clear" w:color="auto" w:fill="auto"/>
          </w:tcPr>
          <w:p w:rsidR="0004592D" w:rsidRDefault="0004592D" w:rsidP="00D338F1">
            <w:pPr>
              <w:spacing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92D" w:rsidRDefault="0004592D" w:rsidP="0004592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ЕДДС</w:t>
            </w:r>
          </w:p>
          <w:p w:rsidR="0004592D" w:rsidRDefault="003D3843" w:rsidP="0004592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hyperlink r:id="rId7" w:history="1">
              <w:r w:rsidR="0004592D">
                <w:rPr>
                  <w:rStyle w:val="a8"/>
                  <w:rFonts w:eastAsia="Arial Unicode MS"/>
                  <w:sz w:val="20"/>
                  <w:szCs w:val="20"/>
                  <w:lang w:eastAsia="en-US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4592D" w:rsidRDefault="0004592D" w:rsidP="0004592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Эл. почта</w:t>
            </w:r>
          </w:p>
        </w:tc>
        <w:tc>
          <w:tcPr>
            <w:tcW w:w="11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4592D" w:rsidRDefault="0004592D" w:rsidP="0004592D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27" w:type="pct"/>
            <w:shd w:val="clear" w:color="auto" w:fill="auto"/>
          </w:tcPr>
          <w:p w:rsidR="0004592D" w:rsidRDefault="0004592D" w:rsidP="0004592D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Градобоев С.Ю.</w:t>
            </w:r>
          </w:p>
        </w:tc>
      </w:tr>
      <w:tr w:rsidR="0004592D" w:rsidRPr="0034052B" w:rsidTr="0004592D">
        <w:trPr>
          <w:trHeight w:val="397"/>
        </w:trPr>
        <w:tc>
          <w:tcPr>
            <w:tcW w:w="957" w:type="pct"/>
            <w:shd w:val="clear" w:color="auto" w:fill="auto"/>
          </w:tcPr>
          <w:p w:rsidR="0004592D" w:rsidRDefault="0004592D" w:rsidP="00D338F1">
            <w:pPr>
              <w:spacing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92D" w:rsidRDefault="0004592D" w:rsidP="0004592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Энергосбыт</w:t>
            </w:r>
            <w:proofErr w:type="spellEnd"/>
          </w:p>
          <w:p w:rsidR="0004592D" w:rsidRDefault="003D3843" w:rsidP="0004592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hyperlink r:id="rId8" w:history="1">
              <w:r w:rsidR="0004592D">
                <w:rPr>
                  <w:rStyle w:val="a8"/>
                  <w:rFonts w:eastAsia="Arial Unicode MS"/>
                  <w:sz w:val="20"/>
                  <w:szCs w:val="20"/>
                  <w:lang w:eastAsia="en-US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4592D" w:rsidRDefault="0004592D" w:rsidP="0004592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Эл. почта</w:t>
            </w:r>
          </w:p>
        </w:tc>
        <w:tc>
          <w:tcPr>
            <w:tcW w:w="11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4592D" w:rsidRDefault="0004592D" w:rsidP="0004592D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27" w:type="pct"/>
            <w:shd w:val="clear" w:color="auto" w:fill="auto"/>
          </w:tcPr>
          <w:p w:rsidR="0004592D" w:rsidRDefault="0004592D" w:rsidP="0004592D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Градобоев С.Ю.</w:t>
            </w: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roofErr w:type="spellStart"/>
            <w:r w:rsidRPr="00755333">
              <w:t>Вет</w:t>
            </w:r>
            <w:proofErr w:type="spellEnd"/>
            <w:r w:rsidRPr="00755333">
              <w:t xml:space="preserve">. Лечебница </w:t>
            </w:r>
            <w:r w:rsidRPr="00755333">
              <w:rPr>
                <w:b/>
              </w:rPr>
              <w:t>ТП-4064</w:t>
            </w:r>
            <w:r w:rsidRPr="00755333">
              <w:t xml:space="preserve">         2-17-68 ,  2-28-18</w:t>
            </w:r>
          </w:p>
        </w:tc>
        <w:tc>
          <w:tcPr>
            <w:tcW w:w="927" w:type="pct"/>
            <w:shd w:val="clear" w:color="auto" w:fill="auto"/>
          </w:tcPr>
          <w:p w:rsidR="00702643" w:rsidRPr="00702643" w:rsidRDefault="00702643" w:rsidP="00702643">
            <w:pPr>
              <w:rPr>
                <w:sz w:val="20"/>
                <w:szCs w:val="20"/>
              </w:rPr>
            </w:pPr>
            <w:proofErr w:type="spellStart"/>
            <w:r w:rsidRPr="00702643">
              <w:rPr>
                <w:sz w:val="20"/>
                <w:szCs w:val="20"/>
              </w:rPr>
              <w:t>Берчук</w:t>
            </w:r>
            <w:proofErr w:type="spellEnd"/>
            <w:r w:rsidRPr="00702643">
              <w:rPr>
                <w:sz w:val="20"/>
                <w:szCs w:val="20"/>
              </w:rPr>
              <w:t xml:space="preserve"> Наталья Анатольевна   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roofErr w:type="spellStart"/>
            <w:r w:rsidRPr="00755333">
              <w:t>Трансгаз</w:t>
            </w:r>
            <w:proofErr w:type="spellEnd"/>
            <w:r w:rsidRPr="00755333">
              <w:t xml:space="preserve">  8-912-233-27-49   </w:t>
            </w:r>
            <w:r w:rsidRPr="00755333">
              <w:rPr>
                <w:b/>
              </w:rPr>
              <w:t>ТП-87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r w:rsidRPr="00755333">
              <w:t>Бабенко А.Г.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roofErr w:type="spellStart"/>
            <w:r w:rsidRPr="00755333">
              <w:t>Трансгаз</w:t>
            </w:r>
            <w:proofErr w:type="spellEnd"/>
            <w:r w:rsidRPr="00755333">
              <w:t xml:space="preserve">  </w:t>
            </w:r>
            <w:r w:rsidRPr="00755333">
              <w:rPr>
                <w:b/>
              </w:rPr>
              <w:t>ТП-83</w:t>
            </w:r>
            <w:r w:rsidRPr="00755333">
              <w:t xml:space="preserve">  83439649441,                      8-922-602-59-43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proofErr w:type="spellStart"/>
            <w:r w:rsidRPr="00755333">
              <w:t>Пагин</w:t>
            </w:r>
            <w:proofErr w:type="spellEnd"/>
            <w:r w:rsidRPr="00755333">
              <w:t xml:space="preserve"> Александр Николаевич 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r w:rsidRPr="00755333">
              <w:t xml:space="preserve">"Стройматериалы" </w:t>
            </w:r>
            <w:r w:rsidRPr="00755333">
              <w:rPr>
                <w:b/>
              </w:rPr>
              <w:t>ТП-672</w:t>
            </w:r>
            <w:r w:rsidRPr="00755333">
              <w:t xml:space="preserve"> </w:t>
            </w:r>
            <w:r w:rsidRPr="00755333">
              <w:rPr>
                <w:color w:val="333333"/>
                <w:shd w:val="clear" w:color="auto" w:fill="FFFFFF"/>
              </w:rPr>
              <w:t>+7 (34356) 2-00-01, 89221359697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proofErr w:type="spellStart"/>
            <w:r w:rsidRPr="00755333">
              <w:t>Храмков</w:t>
            </w:r>
            <w:proofErr w:type="spellEnd"/>
            <w:r w:rsidRPr="00755333">
              <w:t xml:space="preserve"> 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r w:rsidRPr="00755333">
              <w:t xml:space="preserve">ИП Малявкина </w:t>
            </w:r>
            <w:r w:rsidRPr="00755333">
              <w:rPr>
                <w:b/>
              </w:rPr>
              <w:t>ТП-672</w:t>
            </w:r>
            <w:r w:rsidRPr="00755333">
              <w:t xml:space="preserve"> "</w:t>
            </w:r>
            <w:proofErr w:type="spellStart"/>
            <w:r w:rsidRPr="00755333">
              <w:t>Шиномонтаж</w:t>
            </w:r>
            <w:proofErr w:type="spellEnd"/>
            <w:r w:rsidRPr="00755333">
              <w:t>" 89122640484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r w:rsidRPr="00755333">
              <w:t xml:space="preserve">Малявкин Денис Викторович 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r w:rsidRPr="00755333">
              <w:t xml:space="preserve">НТЛК </w:t>
            </w:r>
            <w:proofErr w:type="spellStart"/>
            <w:r w:rsidRPr="00755333">
              <w:t>Вайнера</w:t>
            </w:r>
            <w:proofErr w:type="spellEnd"/>
            <w:r w:rsidRPr="00755333">
              <w:t xml:space="preserve"> 84А                   </w:t>
            </w:r>
            <w:r w:rsidRPr="00755333">
              <w:rPr>
                <w:b/>
              </w:rPr>
              <w:t>ТП-84</w:t>
            </w:r>
            <w:r w:rsidRPr="00755333">
              <w:t xml:space="preserve">          89225760846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proofErr w:type="spellStart"/>
            <w:r w:rsidRPr="00755333">
              <w:t>Арсенбеков</w:t>
            </w:r>
            <w:proofErr w:type="spellEnd"/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roofErr w:type="spellStart"/>
            <w:r w:rsidRPr="00755333">
              <w:t>ООО"ДорСтройЭксплуатация</w:t>
            </w:r>
            <w:proofErr w:type="spellEnd"/>
            <w:r w:rsidRPr="00755333">
              <w:t xml:space="preserve">    89122819361  </w:t>
            </w:r>
            <w:r w:rsidRPr="00755333">
              <w:rPr>
                <w:b/>
              </w:rPr>
              <w:t>ТП-82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proofErr w:type="spellStart"/>
            <w:r w:rsidRPr="00755333">
              <w:t>Кокуркин</w:t>
            </w:r>
            <w:proofErr w:type="spellEnd"/>
            <w:r w:rsidRPr="00755333">
              <w:t xml:space="preserve"> Вячеслав Борисович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roofErr w:type="spellStart"/>
            <w:r w:rsidRPr="00755333">
              <w:t>ООО"Гриерсо</w:t>
            </w:r>
            <w:proofErr w:type="spellEnd"/>
            <w:r w:rsidRPr="00755333">
              <w:t>-сервис" 89122838200</w:t>
            </w:r>
          </w:p>
        </w:tc>
        <w:tc>
          <w:tcPr>
            <w:tcW w:w="927" w:type="pct"/>
            <w:shd w:val="clear" w:color="auto" w:fill="auto"/>
          </w:tcPr>
          <w:p w:rsidR="00702643" w:rsidRPr="00702643" w:rsidRDefault="00702643" w:rsidP="00702643">
            <w:pPr>
              <w:rPr>
                <w:sz w:val="20"/>
                <w:szCs w:val="20"/>
              </w:rPr>
            </w:pPr>
            <w:r w:rsidRPr="00702643">
              <w:rPr>
                <w:sz w:val="20"/>
                <w:szCs w:val="20"/>
              </w:rPr>
              <w:t xml:space="preserve">Еронин Сергей Владимирович 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roofErr w:type="spellStart"/>
            <w:r w:rsidRPr="00755333">
              <w:t>ООО"Город</w:t>
            </w:r>
            <w:proofErr w:type="spellEnd"/>
            <w:r w:rsidRPr="00755333">
              <w:t xml:space="preserve">"                                                               </w:t>
            </w:r>
            <w:hyperlink r:id="rId9" w:history="1">
              <w:r w:rsidRPr="00755333">
                <w:rPr>
                  <w:rStyle w:val="a8"/>
                </w:rPr>
                <w:t>nevgorod@yandex.ru</w:t>
              </w:r>
            </w:hyperlink>
            <w:r w:rsidRPr="00755333">
              <w:rPr>
                <w:rStyle w:val="a8"/>
              </w:rPr>
              <w:t xml:space="preserve">         </w:t>
            </w:r>
            <w:r w:rsidRPr="00755333">
              <w:t xml:space="preserve"> 2-16-08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proofErr w:type="spellStart"/>
            <w:r w:rsidRPr="00755333">
              <w:t>Устьянцева</w:t>
            </w:r>
            <w:proofErr w:type="spellEnd"/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roofErr w:type="spellStart"/>
            <w:r w:rsidRPr="00755333">
              <w:t>УП"Невьянский</w:t>
            </w:r>
            <w:proofErr w:type="spellEnd"/>
            <w:r w:rsidRPr="00755333">
              <w:t xml:space="preserve">  </w:t>
            </w:r>
            <w:r w:rsidRPr="00755333">
              <w:rPr>
                <w:b/>
              </w:rPr>
              <w:t>ТП-4081</w:t>
            </w:r>
            <w:r w:rsidRPr="00755333">
              <w:t xml:space="preserve"> водоканал"                                  8-912-285-18-16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r w:rsidRPr="00755333">
              <w:t xml:space="preserve">Богатырев Дмитрий Сергеевич   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r w:rsidRPr="00755333">
              <w:t xml:space="preserve">Фермер    89506417199  </w:t>
            </w:r>
            <w:r w:rsidRPr="00755333">
              <w:rPr>
                <w:b/>
              </w:rPr>
              <w:t>ТП- 4077</w:t>
            </w:r>
            <w:r w:rsidRPr="00755333">
              <w:t xml:space="preserve">                                                   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r w:rsidRPr="00755333">
              <w:t>Тушин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r w:rsidRPr="00755333">
              <w:t xml:space="preserve"> Прииск:  </w:t>
            </w:r>
            <w:r w:rsidRPr="00755333">
              <w:rPr>
                <w:b/>
              </w:rPr>
              <w:t>ТП-80</w:t>
            </w:r>
            <w:r w:rsidRPr="00755333">
              <w:t xml:space="preserve"> </w:t>
            </w:r>
            <w:proofErr w:type="spellStart"/>
            <w:r w:rsidRPr="00755333">
              <w:t>Мех.мастерская</w:t>
            </w:r>
            <w:proofErr w:type="spellEnd"/>
            <w:r w:rsidRPr="00755333">
              <w:t xml:space="preserve"> прииска </w:t>
            </w:r>
            <w:proofErr w:type="spellStart"/>
            <w:r w:rsidRPr="00755333">
              <w:t>ул.Садовая</w:t>
            </w:r>
            <w:proofErr w:type="spellEnd"/>
            <w:r w:rsidRPr="00755333">
              <w:t xml:space="preserve"> 51       8-912-625-38-22   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r w:rsidRPr="00755333">
              <w:t xml:space="preserve"> </w:t>
            </w:r>
            <w:proofErr w:type="spellStart"/>
            <w:r w:rsidRPr="00755333">
              <w:t>Шкерин</w:t>
            </w:r>
            <w:proofErr w:type="spellEnd"/>
            <w:r w:rsidRPr="00755333">
              <w:t xml:space="preserve"> Игорь Павлович    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roofErr w:type="spellStart"/>
            <w:r w:rsidRPr="00755333">
              <w:t>Регионгаз-инвест</w:t>
            </w:r>
            <w:proofErr w:type="spellEnd"/>
            <w:r w:rsidRPr="00755333">
              <w:t xml:space="preserve"> </w:t>
            </w:r>
            <w:r w:rsidRPr="00755333">
              <w:rPr>
                <w:b/>
              </w:rPr>
              <w:t>ТП-4081</w:t>
            </w:r>
            <w:r w:rsidRPr="00755333">
              <w:t xml:space="preserve"> 8-912-610-00-65,                    2-49-95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r w:rsidRPr="00755333">
              <w:t>Мальцева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r w:rsidRPr="00755333">
              <w:rPr>
                <w:b/>
              </w:rPr>
              <w:t>ТП -4086</w:t>
            </w:r>
            <w:r w:rsidRPr="00755333">
              <w:t xml:space="preserve"> ЕРТ </w:t>
            </w:r>
            <w:proofErr w:type="spellStart"/>
            <w:r w:rsidRPr="00755333">
              <w:t>Груп</w:t>
            </w:r>
            <w:proofErr w:type="spellEnd"/>
            <w:r w:rsidRPr="00755333">
              <w:t xml:space="preserve">    89221501801         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r w:rsidRPr="00755333">
              <w:t xml:space="preserve">Николаев Андреи 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Pr>
              <w:spacing w:line="240" w:lineRule="auto"/>
            </w:pPr>
            <w:proofErr w:type="spellStart"/>
            <w:r w:rsidRPr="00755333">
              <w:t>ООО"Урал</w:t>
            </w:r>
            <w:proofErr w:type="spellEnd"/>
            <w:r w:rsidRPr="00755333">
              <w:t xml:space="preserve">-СПМ"              </w:t>
            </w:r>
            <w:r w:rsidRPr="00755333">
              <w:rPr>
                <w:b/>
              </w:rPr>
              <w:t>ТП-85,89</w:t>
            </w:r>
            <w:r w:rsidRPr="00755333">
              <w:t xml:space="preserve">    89222266621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pPr>
              <w:spacing w:line="240" w:lineRule="auto"/>
            </w:pPr>
            <w:r w:rsidRPr="00755333">
              <w:t xml:space="preserve">Яновская 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Pr>
              <w:spacing w:line="240" w:lineRule="auto"/>
            </w:pPr>
            <w:r w:rsidRPr="00755333">
              <w:t xml:space="preserve">БССС Мотив       </w:t>
            </w:r>
            <w:r w:rsidRPr="00755333">
              <w:rPr>
                <w:b/>
              </w:rPr>
              <w:t>ТП-4024</w:t>
            </w:r>
            <w:r w:rsidRPr="00755333">
              <w:t xml:space="preserve">                        8-950-206-02-22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pPr>
              <w:spacing w:line="240" w:lineRule="auto"/>
            </w:pPr>
            <w:r w:rsidRPr="00755333">
              <w:t>Рогозин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Pr>
              <w:spacing w:line="240" w:lineRule="auto"/>
            </w:pPr>
            <w:proofErr w:type="spellStart"/>
            <w:r w:rsidRPr="00755333">
              <w:t>ПромЭлектроМаш</w:t>
            </w:r>
            <w:proofErr w:type="spellEnd"/>
            <w:r w:rsidRPr="00755333">
              <w:t xml:space="preserve"> </w:t>
            </w:r>
            <w:proofErr w:type="spellStart"/>
            <w:r w:rsidRPr="00755333">
              <w:t>Клюкин</w:t>
            </w:r>
            <w:proofErr w:type="spellEnd"/>
            <w:r w:rsidRPr="00755333">
              <w:t xml:space="preserve"> Михаил Викторович 8950-656-57-31.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pPr>
              <w:spacing w:line="240" w:lineRule="auto"/>
            </w:pP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2643" w:rsidRPr="0034052B" w:rsidTr="00A82CBC">
        <w:trPr>
          <w:trHeight w:val="397"/>
        </w:trPr>
        <w:tc>
          <w:tcPr>
            <w:tcW w:w="95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43" w:rsidRPr="00755333" w:rsidRDefault="00702643" w:rsidP="00702643">
            <w:pPr>
              <w:spacing w:line="240" w:lineRule="auto"/>
            </w:pPr>
            <w:r w:rsidRPr="00755333">
              <w:rPr>
                <w:b/>
              </w:rPr>
              <w:t>ТП-88</w:t>
            </w:r>
            <w:r w:rsidRPr="00755333">
              <w:t xml:space="preserve">  ООО " </w:t>
            </w:r>
            <w:proofErr w:type="spellStart"/>
            <w:r w:rsidRPr="00755333">
              <w:t>Асв</w:t>
            </w:r>
            <w:proofErr w:type="spellEnd"/>
            <w:r w:rsidRPr="00755333">
              <w:t xml:space="preserve"> Формация" директор Андронов Андрей Владимирович 8-9221094008                                        Электромонтер Запольских Константин Сергеевич 89655177578</w:t>
            </w:r>
          </w:p>
        </w:tc>
        <w:tc>
          <w:tcPr>
            <w:tcW w:w="927" w:type="pct"/>
            <w:shd w:val="clear" w:color="auto" w:fill="auto"/>
          </w:tcPr>
          <w:p w:rsidR="00702643" w:rsidRPr="00755333" w:rsidRDefault="00702643" w:rsidP="00702643">
            <w:pPr>
              <w:spacing w:line="240" w:lineRule="auto"/>
            </w:pP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643" w:rsidRPr="0034052B" w:rsidRDefault="00702643" w:rsidP="0070264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02643" w:rsidRPr="0034052B" w:rsidRDefault="00702643" w:rsidP="00702643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990B4D" w:rsidRPr="00742D0C" w:rsidRDefault="00990B4D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 №</w:t>
      </w:r>
      <w:r w:rsidR="00AE0FBC">
        <w:rPr>
          <w:sz w:val="28"/>
          <w:szCs w:val="28"/>
        </w:rPr>
        <w:t>2614</w:t>
      </w:r>
      <w:r>
        <w:rPr>
          <w:sz w:val="28"/>
          <w:szCs w:val="28"/>
        </w:rPr>
        <w:t>, ДЖ.</w:t>
      </w:r>
    </w:p>
    <w:sectPr w:rsidR="00990B4D" w:rsidRPr="00742D0C" w:rsidSect="001915A1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43" w:rsidRDefault="003D3843" w:rsidP="00C774FE">
      <w:pPr>
        <w:spacing w:line="240" w:lineRule="auto"/>
      </w:pPr>
      <w:r>
        <w:separator/>
      </w:r>
    </w:p>
  </w:endnote>
  <w:endnote w:type="continuationSeparator" w:id="0">
    <w:p w:rsidR="003D3843" w:rsidRDefault="003D3843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43" w:rsidRDefault="003D3843" w:rsidP="00C774FE">
      <w:pPr>
        <w:spacing w:line="240" w:lineRule="auto"/>
      </w:pPr>
      <w:r>
        <w:separator/>
      </w:r>
    </w:p>
  </w:footnote>
  <w:footnote w:type="continuationSeparator" w:id="0">
    <w:p w:rsidR="003D3843" w:rsidRDefault="003D3843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4592D"/>
    <w:rsid w:val="00071882"/>
    <w:rsid w:val="001915A1"/>
    <w:rsid w:val="00210485"/>
    <w:rsid w:val="00221E2D"/>
    <w:rsid w:val="00225060"/>
    <w:rsid w:val="0034052B"/>
    <w:rsid w:val="003541B0"/>
    <w:rsid w:val="003D3843"/>
    <w:rsid w:val="004537F9"/>
    <w:rsid w:val="0046676B"/>
    <w:rsid w:val="004C7BE9"/>
    <w:rsid w:val="0055587C"/>
    <w:rsid w:val="005E02E6"/>
    <w:rsid w:val="005F3550"/>
    <w:rsid w:val="0062256C"/>
    <w:rsid w:val="00624293"/>
    <w:rsid w:val="00624B37"/>
    <w:rsid w:val="00627F63"/>
    <w:rsid w:val="00641459"/>
    <w:rsid w:val="00665DA6"/>
    <w:rsid w:val="006A0149"/>
    <w:rsid w:val="006D2A3F"/>
    <w:rsid w:val="00702643"/>
    <w:rsid w:val="00726564"/>
    <w:rsid w:val="00872C34"/>
    <w:rsid w:val="008825DB"/>
    <w:rsid w:val="00990B4D"/>
    <w:rsid w:val="00AE0FBC"/>
    <w:rsid w:val="00BA41E4"/>
    <w:rsid w:val="00BF5001"/>
    <w:rsid w:val="00C67D98"/>
    <w:rsid w:val="00C774FE"/>
    <w:rsid w:val="00D0675B"/>
    <w:rsid w:val="00D3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81F5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4537F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7F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7F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averin@nt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ng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evgoro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0295-ABB1-4E31-B768-F2DEABE2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23</cp:revision>
  <cp:lastPrinted>2025-02-01T21:54:00Z</cp:lastPrinted>
  <dcterms:created xsi:type="dcterms:W3CDTF">2025-01-20T09:43:00Z</dcterms:created>
  <dcterms:modified xsi:type="dcterms:W3CDTF">2025-02-01T21:54:00Z</dcterms:modified>
</cp:coreProperties>
</file>