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DB1B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B1B8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B1B8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B8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062AA1">
        <w:rPr>
          <w:rFonts w:ascii="Times New Roman" w:hAnsi="Times New Roman" w:cs="Times New Roman"/>
          <w:b/>
          <w:sz w:val="28"/>
          <w:szCs w:val="28"/>
        </w:rPr>
        <w:t>14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A116F0">
        <w:rPr>
          <w:rFonts w:ascii="Times New Roman" w:hAnsi="Times New Roman" w:cs="Times New Roman"/>
          <w:b/>
          <w:sz w:val="28"/>
          <w:szCs w:val="28"/>
        </w:rPr>
        <w:t xml:space="preserve">С 0,4 </w:t>
      </w:r>
      <w:proofErr w:type="spellStart"/>
      <w:r w:rsidR="00A116F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09:00 2</w:t>
      </w:r>
      <w:r w:rsidR="00DB1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DB1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  </w:t>
      </w:r>
      <w:r w:rsid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2</w:t>
      </w:r>
      <w:r w:rsidR="00DB1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DB1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Невьянск</w:t>
      </w:r>
    </w:p>
    <w:p w:rsidR="005B1C5A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Луначарского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</w:t>
      </w:r>
      <w:proofErr w:type="gram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7, 26, 12, 9, 4, 2, 14, 5, 10,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Матвеева, д. 4, 2,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Урицкого,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Советская,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 9, 4, 14, 3, 11, 12, 1,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а, 7, 1, 2, 8, 6, 5, 13, 15, пер Плотникова, д. 2, 3, 5, 4, 1,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Профсоюзов, д. 2,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DB1B89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  11-45</w:t>
            </w: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F02B0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DB1B89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Остапов К.Н.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DB1B89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  11-45</w:t>
            </w: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F02B0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DB1B89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Остапов К.Н.</w:t>
            </w: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"Урал" </w:t>
            </w:r>
          </w:p>
          <w:p w:rsidR="00C12CBB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8-903-086-65-54</w:t>
            </w: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втомойка ИП Заев                     4-20-21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Горнозаводское                                                                                               Училище      4-42-42  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СО"Газовые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сети"                4-41-04, 4-40-04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Музей.ул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 4   8-906-811-48-21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Чумичев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Кафе "Пристань" 89536099284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81661E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БССС Мотив       8-950-206-02-22 </w:t>
            </w: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ул.Профсоюзов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DB1B89">
        <w:t>7789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06" w:rsidRDefault="00F02B06" w:rsidP="00EE6B18">
      <w:pPr>
        <w:spacing w:after="0" w:line="240" w:lineRule="auto"/>
      </w:pPr>
      <w:r>
        <w:separator/>
      </w:r>
    </w:p>
  </w:endnote>
  <w:endnote w:type="continuationSeparator" w:id="0">
    <w:p w:rsidR="00F02B06" w:rsidRDefault="00F02B06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06" w:rsidRDefault="00F02B06" w:rsidP="00EE6B18">
      <w:pPr>
        <w:spacing w:after="0" w:line="240" w:lineRule="auto"/>
      </w:pPr>
      <w:r>
        <w:separator/>
      </w:r>
    </w:p>
  </w:footnote>
  <w:footnote w:type="continuationSeparator" w:id="0">
    <w:p w:rsidR="00F02B06" w:rsidRDefault="00F02B06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BD0DFF"/>
    <w:rsid w:val="00C12CBB"/>
    <w:rsid w:val="00C25B50"/>
    <w:rsid w:val="00C77B99"/>
    <w:rsid w:val="00D005A2"/>
    <w:rsid w:val="00D14295"/>
    <w:rsid w:val="00D1523A"/>
    <w:rsid w:val="00D35842"/>
    <w:rsid w:val="00D47E65"/>
    <w:rsid w:val="00D879C0"/>
    <w:rsid w:val="00DA4ACB"/>
    <w:rsid w:val="00DB1B89"/>
    <w:rsid w:val="00DF2F4B"/>
    <w:rsid w:val="00DF72D3"/>
    <w:rsid w:val="00E0566C"/>
    <w:rsid w:val="00E07FD5"/>
    <w:rsid w:val="00E1703E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02B06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6F54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Остапов Константин Николаевич</cp:lastModifiedBy>
  <cp:revision>48</cp:revision>
  <cp:lastPrinted>2025-03-09T06:44:00Z</cp:lastPrinted>
  <dcterms:created xsi:type="dcterms:W3CDTF">2024-08-30T11:10:00Z</dcterms:created>
  <dcterms:modified xsi:type="dcterms:W3CDTF">2025-03-09T06:42:00Z</dcterms:modified>
</cp:coreProperties>
</file>