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D63D23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23" w:rsidRPr="007F5A3A" w:rsidRDefault="00D63D23" w:rsidP="00D63D2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Телефонограмма №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208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proofErr w:type="gramStart"/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proofErr w:type="gramEnd"/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июня 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 г.</w:t>
      </w:r>
    </w:p>
    <w:p w:rsidR="00EE6B18" w:rsidRPr="00D63D23" w:rsidRDefault="00EE6B18" w:rsidP="00D63D23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D63D23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D63D23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7F5A3A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="000C00B2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  <w:r w:rsidR="000C00B2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ТП-</w:t>
      </w:r>
      <w:r w:rsidR="00425171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4054 Т</w:t>
      </w:r>
      <w:proofErr w:type="gramStart"/>
      <w:r w:rsidR="00F850C0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8054D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523A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B18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gramEnd"/>
      <w:r w:rsidR="00EE6B18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</w:p>
    <w:p w:rsidR="00EE6B18" w:rsidRPr="00D63D23" w:rsidRDefault="00D63D23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6B18"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5386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23</w:t>
      </w:r>
      <w:proofErr w:type="gramEnd"/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054D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28054D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10E91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ограничением режима потребления и о необходимости подготовки электроустановок вашей организации к прекращению электроснабжения.</w:t>
      </w:r>
    </w:p>
    <w:p w:rsidR="00196F80" w:rsidRPr="00196F80" w:rsidRDefault="00196F80" w:rsidP="00196F8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7F5A3A" w:rsidRPr="00196F80" w:rsidRDefault="00196F80" w:rsidP="00196F8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Городская,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Городская, д. 2,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Б,,</w:t>
      </w:r>
      <w:proofErr w:type="gram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Дорожников,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Дорожников, д. 1, 11, 25, 16, 22, 15, 12, 9, 17, 3, 18,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а, 8, 7, 20, 14, 18, 13, 21, 19, 5, 6, 10, 2, 4,,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Шевченко,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Шевченко, д. 84,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А, 70, 78, 86, 82, 80, 88, 98, 74, 84, 76, 72,, </w:t>
      </w:r>
      <w:proofErr w:type="spellStart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Калинина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700"/>
        <w:gridCol w:w="2268"/>
        <w:gridCol w:w="2268"/>
      </w:tblGrid>
      <w:tr w:rsidR="00EE6B18" w:rsidRPr="00D63D23" w:rsidTr="00532D6A">
        <w:tc>
          <w:tcPr>
            <w:tcW w:w="1126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196F80" w:rsidRPr="00D63D23" w:rsidTr="002B044B">
        <w:tc>
          <w:tcPr>
            <w:tcW w:w="1126" w:type="pct"/>
            <w:shd w:val="clear" w:color="auto" w:fill="auto"/>
            <w:vAlign w:val="center"/>
          </w:tcPr>
          <w:p w:rsidR="00196F80" w:rsidRPr="00D63D23" w:rsidRDefault="00196F80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pct"/>
          </w:tcPr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214" w:type="pct"/>
          </w:tcPr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196F80" w:rsidRPr="00D63D23" w:rsidRDefault="00196F80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F80" w:rsidRPr="00D63D23" w:rsidTr="002B044B">
        <w:tc>
          <w:tcPr>
            <w:tcW w:w="1126" w:type="pct"/>
            <w:shd w:val="clear" w:color="auto" w:fill="auto"/>
            <w:vAlign w:val="center"/>
          </w:tcPr>
          <w:p w:rsidR="00196F80" w:rsidRPr="00D63D23" w:rsidRDefault="00196F80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pct"/>
            <w:shd w:val="clear" w:color="auto" w:fill="auto"/>
          </w:tcPr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214" w:type="pct"/>
            <w:shd w:val="clear" w:color="auto" w:fill="auto"/>
          </w:tcPr>
          <w:p w:rsidR="00196F80" w:rsidRPr="006C2073" w:rsidRDefault="00196F80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196F80" w:rsidRPr="00D63D23" w:rsidRDefault="00196F80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3D23" w:rsidRPr="00D63D23" w:rsidTr="002B6D7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ООО Металл-дизайн               2-14-14,  8-912-222-86-00</w:t>
            </w:r>
          </w:p>
        </w:tc>
        <w:tc>
          <w:tcPr>
            <w:tcW w:w="1214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Гурин</w:t>
            </w:r>
            <w:bookmarkStart w:id="0" w:name="_GoBack"/>
            <w:bookmarkEnd w:id="0"/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2B6D7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"</w:t>
            </w:r>
            <w:proofErr w:type="spellStart"/>
            <w:r w:rsidRPr="00D63D23">
              <w:rPr>
                <w:rFonts w:ascii="Times New Roman" w:hAnsi="Times New Roman" w:cs="Times New Roman"/>
              </w:rPr>
              <w:t>Красное@Белое</w:t>
            </w:r>
            <w:proofErr w:type="spellEnd"/>
            <w:r w:rsidRPr="00D63D23">
              <w:rPr>
                <w:rFonts w:ascii="Times New Roman" w:hAnsi="Times New Roman" w:cs="Times New Roman"/>
              </w:rPr>
              <w:t>"                8-922-020-54-15</w:t>
            </w:r>
          </w:p>
        </w:tc>
        <w:tc>
          <w:tcPr>
            <w:tcW w:w="1214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proofErr w:type="spellStart"/>
            <w:r w:rsidRPr="00D63D23">
              <w:rPr>
                <w:rFonts w:ascii="Times New Roman" w:hAnsi="Times New Roman" w:cs="Times New Roman"/>
              </w:rPr>
              <w:t>Уткова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Чистая планета Дорожников  2-31-11, 24547, 8-922-177-9522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Сучкова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АЗС   8-922-206-94-61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Беккер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ДРСУ   8-963-850-40-40, 89221117223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Дерябин Александр Владимирович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D63D23" w:rsidP="00D6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Мотив 8-950-20-60-222</w:t>
            </w:r>
          </w:p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(</w:t>
            </w:r>
            <w:proofErr w:type="spellStart"/>
            <w:r w:rsidRPr="00D63D23">
              <w:rPr>
                <w:rFonts w:ascii="Times New Roman" w:hAnsi="Times New Roman" w:cs="Times New Roman"/>
              </w:rPr>
              <w:t>обьект</w:t>
            </w:r>
            <w:proofErr w:type="spellEnd"/>
            <w:r w:rsidRPr="00D63D23">
              <w:rPr>
                <w:rFonts w:ascii="Times New Roman" w:hAnsi="Times New Roman" w:cs="Times New Roman"/>
              </w:rPr>
              <w:t xml:space="preserve"> Невьянск 65)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proofErr w:type="spellStart"/>
            <w:r w:rsidRPr="00D63D23">
              <w:rPr>
                <w:rFonts w:ascii="Times New Roman" w:hAnsi="Times New Roman" w:cs="Times New Roman"/>
              </w:rPr>
              <w:t>Дэинеко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3D23" w:rsidRPr="00D63D23" w:rsidRDefault="00D63D23" w:rsidP="00D63D23">
      <w:pPr>
        <w:rPr>
          <w:rFonts w:ascii="Times New Roman" w:hAnsi="Times New Roman" w:cs="Times New Roman"/>
        </w:rPr>
      </w:pPr>
      <w:r w:rsidRPr="00D63D23">
        <w:rPr>
          <w:rFonts w:ascii="Times New Roman" w:hAnsi="Times New Roman" w:cs="Times New Roman"/>
        </w:rPr>
        <w:t>Заявка № 2</w:t>
      </w:r>
      <w:r w:rsidR="007F5A3A">
        <w:rPr>
          <w:rFonts w:ascii="Times New Roman" w:hAnsi="Times New Roman" w:cs="Times New Roman"/>
        </w:rPr>
        <w:t>8410, 28412</w:t>
      </w:r>
      <w:r w:rsidR="00196F80">
        <w:rPr>
          <w:rFonts w:ascii="Times New Roman" w:hAnsi="Times New Roman" w:cs="Times New Roman"/>
        </w:rPr>
        <w:t>, ДЖ</w:t>
      </w:r>
    </w:p>
    <w:p w:rsidR="009B33E1" w:rsidRPr="00D63D23" w:rsidRDefault="00196F80" w:rsidP="00121A7A">
      <w:pPr>
        <w:rPr>
          <w:rFonts w:ascii="Times New Roman" w:hAnsi="Times New Roman" w:cs="Times New Roman"/>
        </w:rPr>
      </w:pPr>
    </w:p>
    <w:sectPr w:rsidR="009B33E1" w:rsidRPr="00D63D23" w:rsidSect="00EE6B18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96" w:rsidRDefault="00797C96" w:rsidP="00EE6B18">
      <w:pPr>
        <w:spacing w:after="0" w:line="240" w:lineRule="auto"/>
      </w:pPr>
      <w:r>
        <w:separator/>
      </w:r>
    </w:p>
  </w:endnote>
  <w:end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96" w:rsidRDefault="00797C96" w:rsidP="00EE6B18">
      <w:pPr>
        <w:spacing w:after="0" w:line="240" w:lineRule="auto"/>
      </w:pPr>
      <w:r>
        <w:separator/>
      </w:r>
    </w:p>
  </w:footnote>
  <w:foot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B39A6"/>
    <w:rsid w:val="000C00B2"/>
    <w:rsid w:val="00107E9A"/>
    <w:rsid w:val="00121A7A"/>
    <w:rsid w:val="00196F80"/>
    <w:rsid w:val="001F21D7"/>
    <w:rsid w:val="001F3982"/>
    <w:rsid w:val="0028054D"/>
    <w:rsid w:val="002F37C2"/>
    <w:rsid w:val="0030140C"/>
    <w:rsid w:val="00371BFF"/>
    <w:rsid w:val="00425171"/>
    <w:rsid w:val="00571854"/>
    <w:rsid w:val="00663ED1"/>
    <w:rsid w:val="00797C96"/>
    <w:rsid w:val="007F5A3A"/>
    <w:rsid w:val="008273B6"/>
    <w:rsid w:val="008C7E1E"/>
    <w:rsid w:val="00B05386"/>
    <w:rsid w:val="00CB5BF5"/>
    <w:rsid w:val="00D1523A"/>
    <w:rsid w:val="00D63D23"/>
    <w:rsid w:val="00E10E91"/>
    <w:rsid w:val="00EE6B18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3C93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196F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407A-28C2-4B76-B10B-4FBECD6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Стрелков Сергей Александрович</cp:lastModifiedBy>
  <cp:revision>2</cp:revision>
  <cp:lastPrinted>2023-12-05T05:25:00Z</cp:lastPrinted>
  <dcterms:created xsi:type="dcterms:W3CDTF">2025-06-18T09:17:00Z</dcterms:created>
  <dcterms:modified xsi:type="dcterms:W3CDTF">2025-06-18T09:17:00Z</dcterms:modified>
</cp:coreProperties>
</file>